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4b217271541ce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11324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Osnovna škola Nikola Tesla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1.443.626,29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1.543.022,07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106,9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1.564.413,06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1.529.193,85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97,7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13.828,22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11.111,01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1.813,22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11.111,01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1.813,22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16,3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12.015,00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Osnovna škola Nikola Tesla izradila je Financijski izvještaj za razdoblje 01.01.-30.06.2026. Ostvareni su ukupni prihodi u iznosu 1.543.022,07 eura, te ukupni rashodi u iznosu 1.531.007,07 eura. Preneseni manjak iznosi 240.418,36 eura. Manjak prihoda za pokriće u sljedećem razdoblju iznosi 228.403,36 eura.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proračunskim korisnicima iz proračuna koji im nije nadležan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1.112.029,64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1.226.607,00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110,3</w:t>
            </w:r>
          </w:p>
        </w:tc>
      </w:tr>
    </w:tbl>
    <w:p>
      <w:pPr>
        <w:spacing w:before="0" w:after="0"/>
      </w:pPr>
    </w:p>
    <w:p>
      <w:r>
        <w:t xml:space="preserve">Prihodi Ministarstva za plaće i naknade, prehranu učenika, županijska stručna vijeća, djecu iz Ukrajine, prijevoz učenika itd.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temeljem prijenosa EU sredstava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19.598,81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12.444,67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63,5</w:t>
            </w:r>
          </w:p>
        </w:tc>
      </w:tr>
    </w:tbl>
    <w:p>
      <w:pPr>
        <w:spacing w:before="0" w:after="0"/>
      </w:pPr>
    </w:p>
    <w:p>
      <w:r>
        <w:t xml:space="preserve">Sredstva za projekt Rinkluzija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nespomenuti prihodi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95.868,37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108.946,40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113,6</w:t>
            </w:r>
          </w:p>
        </w:tc>
      </w:tr>
    </w:tbl>
    <w:p>
      <w:pPr>
        <w:spacing w:before="0" w:after="0"/>
      </w:pPr>
    </w:p>
    <w:p>
      <w:r>
        <w:t xml:space="preserve">Sredstva za cjelodnevni boravak učenika, veća cijena ručka u odnosu na prošu godinu.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pruženih usluga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365,03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438,66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120,2</w:t>
            </w:r>
          </w:p>
        </w:tc>
      </w:tr>
    </w:tbl>
    <w:p>
      <w:pPr>
        <w:spacing w:before="0" w:after="0"/>
      </w:pPr>
    </w:p>
    <w:p>
      <w:r>
        <w:t xml:space="preserve">Prihodi od najma prostora.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donacije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11.450,00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8,4</w:t>
            </w:r>
          </w:p>
        </w:tc>
      </w:tr>
    </w:tbl>
    <w:p>
      <w:pPr>
        <w:spacing w:before="0" w:after="0"/>
      </w:pPr>
    </w:p>
    <w:p>
      <w:r>
        <w:t xml:space="preserve">Donacija za Hrvatskog filmskog saveza za sufinancijranje programa školske filmske ekipe u iznosu od 960,00 eura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rashoda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193.126,31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188.559,33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97,6</w:t>
            </w:r>
          </w:p>
        </w:tc>
      </w:tr>
    </w:tbl>
    <w:p>
      <w:pPr>
        <w:spacing w:before="0" w:after="0"/>
      </w:pPr>
    </w:p>
    <w:p>
      <w:r>
        <w:t xml:space="preserve">Prihodi Grada Rijeke:</w:t>
      </w:r>
    </w:p>
    <w:p>
      <w:pPr>
        <w:pStyle w:val="ListParagraph"/>
        <w:numPr>
          <w:ilvl w:val="0"/>
          <w:numId w:val="2"/>
        </w:numPr>
      </w:pPr>
      <w:r>
        <w:t xml:space="preserve">iz izvora 4110 - 60.474,08</w:t>
      </w:r>
    </w:p>
    <w:p>
      <w:pPr>
        <w:pStyle w:val="ListParagraph"/>
        <w:numPr>
          <w:ilvl w:val="0"/>
          <w:numId w:val="2"/>
        </w:numPr>
      </w:pPr>
      <w:r>
        <w:t xml:space="preserve">iz izvora 1100 - 123.608,54</w:t>
      </w:r>
    </w:p>
    <w:p>
      <w:pPr>
        <w:pStyle w:val="ListParagraph"/>
        <w:numPr>
          <w:ilvl w:val="0"/>
          <w:numId w:val="2"/>
        </w:numPr>
      </w:pPr>
      <w:r>
        <w:t xml:space="preserve">ostali izvori Rinkluzija - 4476,71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iz nadležnog proračuna za financiranje rashoda za nabavu nefinancijske imovine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11.099,50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2.835,85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25,5</w:t>
            </w:r>
          </w:p>
        </w:tc>
      </w:tr>
    </w:tbl>
    <w:p>
      <w:pPr>
        <w:spacing w:before="0" w:after="0"/>
      </w:pPr>
    </w:p>
    <w:p>
      <w:r>
        <w:t xml:space="preserve">Prihodi za nabavu nefinancijske imovine odnose se na rashode koji su ostavreni u 2025. godini.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prihodi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2.230,16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Sufinanciranje režisjkih troškova Dječjeg vrtića More.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Plaće za prekovremeni rad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24.938,17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27.894,16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111,9</w:t>
            </w:r>
          </w:p>
        </w:tc>
      </w:tr>
    </w:tbl>
    <w:p>
      <w:pPr>
        <w:spacing w:before="0" w:after="0"/>
      </w:pPr>
    </w:p>
    <w:p>
      <w:r>
        <w:t xml:space="preserve">Sukladno odrađenim zamjenama obračunat je i isplaćen prekovremeni rad.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Plaće za posebne uvjete rada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7.056,23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5.653,75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80,1</w:t>
            </w:r>
          </w:p>
        </w:tc>
      </w:tr>
    </w:tbl>
    <w:p>
      <w:pPr>
        <w:spacing w:before="0" w:after="0"/>
      </w:pPr>
    </w:p>
    <w:p>
      <w:r>
        <w:t xml:space="preserve">Sukldno broju djece sa rješenjima isplaćuje se plaća za posebne uvjete rada.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Službena putovanja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8.956,77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5.162,01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57,6</w:t>
            </w:r>
          </w:p>
        </w:tc>
      </w:tr>
    </w:tbl>
    <w:p>
      <w:pPr>
        <w:spacing w:before="0" w:after="0"/>
      </w:pPr>
    </w:p>
    <w:p>
      <w:r>
        <w:t xml:space="preserve">U 2025. godini veći zbroj inozemnih putovanja.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Stručno usavršavanje zaposlenika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3.445,78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487,00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14,1</w:t>
            </w:r>
          </w:p>
        </w:tc>
      </w:tr>
    </w:tbl>
    <w:p>
      <w:pPr>
        <w:spacing w:before="0" w:after="0"/>
      </w:pPr>
    </w:p>
    <w:p>
      <w:r>
        <w:t xml:space="preserve">U 2025. godini plaćene kotizacije za inozemna usavršavanja za IB program.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Materijal i sirovine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110.960,97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133.431,47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120,3</w:t>
            </w:r>
          </w:p>
        </w:tc>
      </w:tr>
    </w:tbl>
    <w:p>
      <w:pPr>
        <w:spacing w:before="0" w:after="0"/>
      </w:pPr>
    </w:p>
    <w:p>
      <w:r>
        <w:t xml:space="preserve">Veća potrošnja za namirnice za prehranu učenika.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Materijal i dijelovi za tekuće i investicijsko održavanje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2.129,39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2.692,02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126,4</w:t>
            </w:r>
          </w:p>
        </w:tc>
      </w:tr>
    </w:tbl>
    <w:p>
      <w:pPr>
        <w:spacing w:before="0" w:after="0"/>
      </w:pPr>
    </w:p>
    <w:p>
      <w:r>
        <w:t xml:space="preserve">Sukladno potrebama Škole potrošen je veći iznos za materijal za održavanje.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Službena, radna i zaštitna odjeća i obuća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34,56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283,97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821,7</w:t>
            </w:r>
          </w:p>
        </w:tc>
      </w:tr>
    </w:tbl>
    <w:p>
      <w:pPr>
        <w:spacing w:before="0" w:after="0"/>
      </w:pPr>
    </w:p>
    <w:p>
      <w:r>
        <w:t xml:space="preserve">Nabavljena radna odjeća za profesorice tjelesnog odgoja.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telefona, interneta, pošte i prijevoza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4.526,95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3.479,77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76,9</w:t>
            </w:r>
          </w:p>
        </w:tc>
      </w:tr>
    </w:tbl>
    <w:p>
      <w:pPr>
        <w:spacing w:before="0" w:after="0"/>
      </w:pPr>
    </w:p>
    <w:p>
      <w:r>
        <w:t xml:space="preserve">Iznos utrošen sukladno potrebama Škole.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tekućeg i investicijskog održavanja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2.286,11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928,75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40,6</w:t>
            </w:r>
          </w:p>
        </w:tc>
      </w:tr>
    </w:tbl>
    <w:p>
      <w:pPr>
        <w:spacing w:before="0" w:after="0"/>
      </w:pPr>
    </w:p>
    <w:p>
      <w:r>
        <w:t xml:space="preserve">u 2025. godini radovi su veći zbog ulaganja u sigurnos Škole.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promidžbe i informiranja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2.034,25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4068,5</w:t>
            </w:r>
          </w:p>
        </w:tc>
      </w:tr>
    </w:tbl>
    <w:p>
      <w:pPr>
        <w:spacing w:before="0" w:after="0"/>
      </w:pPr>
    </w:p>
    <w:p>
      <w:r>
        <w:t xml:space="preserve">Objavljen natječaj za ravnatelja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Komunalne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5.012,76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6.707,10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133,8</w:t>
            </w:r>
          </w:p>
        </w:tc>
      </w:tr>
    </w:tbl>
    <w:p>
      <w:pPr>
        <w:spacing w:before="0" w:after="0"/>
      </w:pPr>
    </w:p>
    <w:p>
      <w:r>
        <w:t xml:space="preserve">Veliko povećanje odvoza komunalnog otpada.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Zdravstvene i veterinarske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4.370,65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621,95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14,2</w:t>
            </w:r>
          </w:p>
        </w:tc>
      </w:tr>
    </w:tbl>
    <w:p>
      <w:pPr>
        <w:spacing w:before="0" w:after="0"/>
      </w:pPr>
    </w:p>
    <w:p>
      <w:r>
        <w:t xml:space="preserve">U 2026. godini još nisu obavljani sistematski pregledi.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Reprezentacija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49,62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60,71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122,3</w:t>
            </w:r>
          </w:p>
        </w:tc>
      </w:tr>
    </w:tbl>
    <w:p>
      <w:pPr>
        <w:spacing w:before="0" w:after="0"/>
      </w:pPr>
    </w:p>
    <w:p>
      <w:r>
        <w:t xml:space="preserve">Iznos uskladan potrebama Škole.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Pristojbe i naknade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4.167,00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3.780,00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90,7</w:t>
            </w:r>
          </w:p>
        </w:tc>
      </w:tr>
    </w:tbl>
    <w:p>
      <w:pPr>
        <w:spacing w:before="0" w:after="0"/>
      </w:pPr>
    </w:p>
    <w:p>
      <w:r>
        <w:t xml:space="preserve">u 2025. godini knjižena jedna naknda za nezapošlajvanje invalida više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Zatezne kamate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5,39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29,37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544,9</w:t>
            </w:r>
          </w:p>
        </w:tc>
      </w:tr>
    </w:tbl>
    <w:p>
      <w:pPr>
        <w:spacing w:before="0" w:after="0"/>
      </w:pPr>
    </w:p>
    <w:p>
      <w:r>
        <w:t xml:space="preserve">Kamate zbog kašnjenja u plaćaju.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građanima i kućanstvima u naravi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8,51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151,38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1778,8</w:t>
            </w:r>
          </w:p>
        </w:tc>
      </w:tr>
    </w:tbl>
    <w:p>
      <w:pPr>
        <w:spacing w:before="0" w:after="0"/>
      </w:pPr>
    </w:p>
    <w:p>
      <w:r>
        <w:t xml:space="preserve">Dodatna narudžba radnih udžbenika i radnih bilježnica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Obračunati prihodi poslovanja - nenaplaćeni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191.831,30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219.826,05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114,6</w:t>
            </w:r>
          </w:p>
        </w:tc>
      </w:tr>
    </w:tbl>
    <w:p>
      <w:pPr>
        <w:spacing w:before="0" w:after="0"/>
      </w:pPr>
    </w:p>
    <w:p>
      <w:r>
        <w:t xml:space="preserve">Nenaplaćeni prihodi odnose se na knjiženje plaće i naknade za lipanj 2026, te na potraživanja od roditelja i općina za cjelodnevni.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Uredska oprema i namještaj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1.471,81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Nabavljeno računalo.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Uređaji, strojevi i oprema za ostale namjene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Nabavljena prerilica rublja.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Knjige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11,51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11,51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100</w:t>
            </w:r>
          </w:p>
        </w:tc>
      </w:tr>
    </w:tbl>
    <w:p>
      <w:pPr>
        <w:spacing w:before="0" w:after="0"/>
      </w:pPr>
    </w:p>
    <w:p>
      <w:r>
        <w:t xml:space="preserve">Udžbenici.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31.982,82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Dospjele obveze na kraju izvještjnog razdoblja odnose se na rashode za namirnice i ručkove na te sufinacniranja od strane MZO-a. Prihodi od MZO-a za prehranu knjiženi su 30.06. te odmah dani na plaćanje. I ostali rashodi su dani na plaćanje.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Međusobne obveze subjekata općeg proračuna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27.389,95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obveze proračunskih korisnika za povrat u proračun - bolovanje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rashode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240.898,20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Većina obveza se odnosi na plaće i naknade za lipanj, koje su isplaćene u srpnju. Ostali materijalni rashodi biti će zatvoreni u dospijeću.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33.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EU izvještaj</w:t>
      </w:r>
    </w:p>
    <w:p>
      <w:r>
        <w:t xml:space="preserve">EU izvještaj obuhvaća projekt Rinkluzija koji se odnosi na zapošljavanje pomoćnika u nastavi. Sredstva su dobivana od Grada Rijeke koji je nositelj projekta.</w:t>
      </w:r>
    </w:p>
    <w:p/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name w:val="disc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num w:numId="2">
    <w:abstractNumId w:val="1"/>
    <w:lvlOverride w:ilvl="0">
      <w:startOverride w:val="1"/>
    </w:lvlOverride>
  </w:num>
</w:numbering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  <w:style xmlns:w="http://schemas.openxmlformats.org/wordprocessingml/2006/main" w:type="paragraph" w:styleId="ListParagraph">
    <w:name w:val="List Paragraph"/>
    <w:next w:val="List Paragraph"/>
    <w:pPr>
      <w:keepNext w:val="0"/>
      <w:keepLines w:val="0"/>
      <w:spacing w:before="0" w:after="0" w:line="240" w:lineRule="auto"/>
      <w:ind w:start="720" w:end="0" w:firstLine="0"/>
      <w:contextualSpacing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2d2068d64f146f7" /><Relationship Type="http://schemas.openxmlformats.org/officeDocument/2006/relationships/numbering" Target="/word/numbering.xml" Id="Rb0b9f24f5ced4840" /></Relationships>
</file>